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25.0" w:type="dxa"/>
        <w:jc w:val="left"/>
        <w:tblInd w:w="-149.0" w:type="dxa"/>
        <w:tblLayout w:type="fixed"/>
        <w:tblLook w:val="0000"/>
      </w:tblPr>
      <w:tblGrid>
        <w:gridCol w:w="480"/>
        <w:gridCol w:w="1830"/>
        <w:gridCol w:w="420"/>
        <w:gridCol w:w="1860"/>
        <w:gridCol w:w="5235"/>
        <w:tblGridChange w:id="0">
          <w:tblGrid>
            <w:gridCol w:w="480"/>
            <w:gridCol w:w="1830"/>
            <w:gridCol w:w="420"/>
            <w:gridCol w:w="1860"/>
            <w:gridCol w:w="5235"/>
          </w:tblGrid>
        </w:tblGridChange>
      </w:tblGrid>
      <w:tr>
        <w:trPr>
          <w:cantSplit w:val="0"/>
          <w:trHeight w:val="144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/>
              <w:drawing>
                <wp:inline distB="0" distT="0" distL="0" distR="0">
                  <wp:extent cx="651510" cy="1075113"/>
                  <wp:effectExtent b="0" l="0" r="0" t="0"/>
                  <wp:docPr descr="C:\Users\Орг1\Desktop\герб\герб_чб.png" id="1" name="image1.png"/>
                  <a:graphic>
                    <a:graphicData uri="http://schemas.openxmlformats.org/drawingml/2006/picture">
                      <pic:pic>
                        <pic:nvPicPr>
                          <pic:cNvPr descr="C:\Users\Орг1\Desktop\герб\герб_чб.png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510" cy="10751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Кемеровская область - Кузбасс</w:t>
            </w:r>
          </w:p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Новокузнецкий городской округ</w:t>
            </w:r>
          </w:p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УПРАВЛЕНИЕ ЭКОНОМИЧЕСКОГО РАЗВИТИЯ, ПРОМЫШЛЕННОСТИ И ИНВЕСТИЦИЙ АДМИНИСТРАЦИИ ГОРОДА НОВОКУЗНЕЦКА</w:t>
            </w:r>
          </w:p>
          <w:p w:rsidR="00000000" w:rsidDel="00000000" w:rsidP="00000000" w:rsidRDefault="00000000" w:rsidRPr="00000000" w14:paraId="0000000F">
            <w:pPr>
              <w:ind w:firstLine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Кирова ул., д.71, Новокузнецк, 654080</w:t>
            </w:r>
          </w:p>
          <w:p w:rsidR="00000000" w:rsidDel="00000000" w:rsidP="00000000" w:rsidRDefault="00000000" w:rsidRPr="00000000" w14:paraId="00000010">
            <w:pPr>
              <w:ind w:firstLine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тел. (3843)32-15-83, тел./факс (3843)32-16-51</w:t>
            </w:r>
          </w:p>
          <w:p w:rsidR="00000000" w:rsidDel="00000000" w:rsidP="00000000" w:rsidRDefault="00000000" w:rsidRPr="00000000" w14:paraId="00000011">
            <w:pPr>
              <w:ind w:firstLine="1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телетайп 277207 «Иней»</w:t>
            </w:r>
          </w:p>
          <w:p w:rsidR="00000000" w:rsidDel="00000000" w:rsidP="00000000" w:rsidRDefault="00000000" w:rsidRPr="00000000" w14:paraId="00000012">
            <w:pPr>
              <w:ind w:firstLine="1"/>
              <w:jc w:val="center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E-mail: priem533@admnkz.info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6">
            <w:pPr>
              <w:spacing w:after="200" w:lineRule="auto"/>
              <w:rPr>
                <w:rFonts w:ascii="Times New Roman" w:cs="Times New Roman" w:eastAsia="Times New Roman" w:hAnsi="Times New Roman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6"/>
                <w:szCs w:val="26"/>
                <w:rtl w:val="0"/>
              </w:rPr>
              <w:t xml:space="preserve">Начальнику управления потребительского рынка и развития предпринимательства администрации города Новокузнецка</w:t>
              <w:br w:type="textWrapping"/>
              <w:t xml:space="preserve">Шиллер Я.В.</w:t>
            </w:r>
          </w:p>
        </w:tc>
      </w:tr>
      <w:tr>
        <w:trPr>
          <w:cantSplit w:val="0"/>
          <w:trHeight w:val="335.9765625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ind w:right="1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от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08.06.2026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ind w:right="1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№</w:t>
            </w:r>
          </w:p>
        </w:tc>
        <w:tc>
          <w:tcPr>
            <w:tcBorders>
              <w:bottom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</w:t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C">
            <w:pPr>
              <w:ind w:right="1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а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1D">
            <w:pPr>
              <w:ind w:right="1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widowControl w:val="0"/>
        <w:spacing w:after="200" w:before="200" w:lin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Заключение об оценке регулирующего воздействия</w:t>
      </w:r>
    </w:p>
    <w:p w:rsidR="00000000" w:rsidDel="00000000" w:rsidP="00000000" w:rsidRDefault="00000000" w:rsidRPr="00000000" w14:paraId="00000022">
      <w:pPr>
        <w:widowControl w:val="0"/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Управление экономического развития, промышленности и инвестиций администрации города Новокузнецка</w:t>
      </w:r>
    </w:p>
    <w:p w:rsidR="00000000" w:rsidDel="00000000" w:rsidP="00000000" w:rsidRDefault="00000000" w:rsidRPr="00000000" w14:paraId="00000023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(наименование уполномоченного органа)</w:t>
      </w:r>
    </w:p>
    <w:p w:rsidR="00000000" w:rsidDel="00000000" w:rsidP="00000000" w:rsidRDefault="00000000" w:rsidRPr="00000000" w14:paraId="00000025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в соответствии с Порядком проведения оценки регулирующего воздействия проектов муниципальных нормативных правовых актов Новокузнецкого городского округа, утвержденным решением Новокузнецкого городского Совета народных депутатов от 24.12.2024 №18/108 «Об оценке регулирующего воздействия проектов муниципальных нормативных правовых актов Новокузнецкого городского округа и экспертизе муниципальных нормативных правовых актов Новокузнецкого городского округа, затрагивающих вопросы осуществления предпринимательской и инвестиционной деятельности» (далее – Порядок проведения оценки регулирующего воздействия), </w:t>
      </w:r>
    </w:p>
    <w:p w:rsidR="00000000" w:rsidDel="00000000" w:rsidP="00000000" w:rsidRDefault="00000000" w:rsidRPr="00000000" w14:paraId="00000026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(нормативный правовой акт, устанавливающий порядок проведения оценки регулирующего воздействия)</w:t>
      </w:r>
    </w:p>
    <w:p w:rsidR="00000000" w:rsidDel="00000000" w:rsidP="00000000" w:rsidRDefault="00000000" w:rsidRPr="00000000" w14:paraId="00000028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рассмотрело проект постановления администрации города Новокузнецка «О внесении изменений в постановление администрации города Новокузнецка от 18.04.2014 №61 «Об утверждении схем размещения нестационарных торговых объектов на территории Новокузнецкого городского округа» (далее – проект акта),</w:t>
      </w:r>
    </w:p>
    <w:p w:rsidR="00000000" w:rsidDel="00000000" w:rsidP="00000000" w:rsidRDefault="00000000" w:rsidRPr="00000000" w14:paraId="00000029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(наименование проекта муниципального нормативного правового акта)</w:t>
      </w:r>
    </w:p>
    <w:p w:rsidR="00000000" w:rsidDel="00000000" w:rsidP="00000000" w:rsidRDefault="00000000" w:rsidRPr="00000000" w14:paraId="0000002B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подготовленный и направленный для подготовки настоящего заключения управлением потребительского рынка и развития предпринимательства администрации города Новокузнецка (далее – разработчик),</w:t>
      </w:r>
    </w:p>
    <w:p w:rsidR="00000000" w:rsidDel="00000000" w:rsidP="00000000" w:rsidRDefault="00000000" w:rsidRPr="00000000" w14:paraId="0000002C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(наименование органа-разработчика, направившего проект акта)</w:t>
      </w:r>
    </w:p>
    <w:p w:rsidR="00000000" w:rsidDel="00000000" w:rsidP="00000000" w:rsidRDefault="00000000" w:rsidRPr="00000000" w14:paraId="0000002E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и сообщает следующее.</w:t>
      </w:r>
    </w:p>
    <w:p w:rsidR="00000000" w:rsidDel="00000000" w:rsidP="00000000" w:rsidRDefault="00000000" w:rsidRPr="00000000" w14:paraId="0000002F">
      <w:pPr>
        <w:widowControl w:val="0"/>
        <w:spacing w:after="0" w:before="200" w:line="240" w:lineRule="auto"/>
        <w:ind w:left="0"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Степень регулирующего воздействия положений, содержащихся в подготовленном проекте акта, средняя.</w:t>
      </w:r>
    </w:p>
    <w:p w:rsidR="00000000" w:rsidDel="00000000" w:rsidP="00000000" w:rsidRDefault="00000000" w:rsidRPr="00000000" w14:paraId="00000030">
      <w:pPr>
        <w:widowControl w:val="0"/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Разработчиком проведены публичные обсуждения проекта акта в сроки с 07.05.2026 по 28.05.2026.</w:t>
      </w:r>
    </w:p>
    <w:p w:rsidR="00000000" w:rsidDel="00000000" w:rsidP="00000000" w:rsidRDefault="00000000" w:rsidRPr="00000000" w14:paraId="00000031">
      <w:pPr>
        <w:widowControl w:val="0"/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На основе проведенной оценки регулирующего воздействия проекта акта с учетом информации, представленной разработчиком в сводном отчете, управлением экономического развития, промышленности и инвестиций администрации города Новокузнецка</w:t>
      </w:r>
    </w:p>
    <w:p w:rsidR="00000000" w:rsidDel="00000000" w:rsidP="00000000" w:rsidRDefault="00000000" w:rsidRPr="00000000" w14:paraId="00000032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before="0" w:line="240" w:lineRule="auto"/>
        <w:ind w:left="0" w:firstLine="0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(наименование уполномоченного органа)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сделаны следующие выводы:</w:t>
      </w:r>
    </w:p>
    <w:p w:rsidR="00000000" w:rsidDel="00000000" w:rsidP="00000000" w:rsidRDefault="00000000" w:rsidRPr="00000000" w14:paraId="00000035">
      <w:pPr>
        <w:widowControl w:val="0"/>
        <w:spacing w:after="0" w:before="0" w:line="240" w:lineRule="auto"/>
        <w:ind w:left="0"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Разработчиком проекта акта соблюдены все процедуры, предусмотренные Порядком проведения оценки регулирующего воздействия, и на основании представленного разработчиком сводного отчета решение проблемы предложенным проектом акта способом регулирования признано достаточно обоснованным.</w:t>
      </w:r>
    </w:p>
    <w:p w:rsidR="00000000" w:rsidDel="00000000" w:rsidP="00000000" w:rsidRDefault="00000000" w:rsidRPr="00000000" w14:paraId="00000036">
      <w:pPr>
        <w:widowControl w:val="0"/>
        <w:spacing w:after="0" w:before="0"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(вывод о наличии либо отсутствии достаточного обоснования решения проблемы предложенным способом регулирования)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Положения, вводящие избыточные обязанности, запреты и ограничения для субъектов предпринимательской и иной экономической деятельности или способствующие их введению, а также положения, способствующие возникновению необоснованных расходов субъектов предпринимательской и иной экономической деятельности и бюджета Новокузнецкого городского округа, в проекте акта отсутствуют.</w:t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spacing w:line="240" w:lineRule="auto"/>
        <w:jc w:val="center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(вывод о наличии либо отсутствии положений, вводящих избыточные обязанности, запреты ограничения для субъектов предпринимательской и иной экономической деятельности или/и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бюджета Новокузнецкого городского округа)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Предлагаемое регулирование не оказывает влияния на конкурентную среду и носит нормативный характер. Новые функции, полномочия, обязанности и права органов местного самоуправления или сведения об их изменении, а также порядок их реализации предлагаемым проектом акта не устанавливаются. Реализация положений проекта нормативного правового акта не потребует дополнительных расходов средств бюджета Новокузнецкого городского округа. Риски решения проблемы предложенным способом регулирования и риски негативных последствий не выявлены.</w:t>
      </w:r>
    </w:p>
    <w:p w:rsidR="00000000" w:rsidDel="00000000" w:rsidP="00000000" w:rsidRDefault="00000000" w:rsidRPr="00000000" w14:paraId="0000003C">
      <w:pPr>
        <w:widowControl w:val="0"/>
        <w:spacing w:line="240" w:lineRule="auto"/>
        <w:ind w:left="0" w:firstLine="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40" w:lineRule="auto"/>
        <w:ind w:left="0" w:firstLine="0"/>
        <w:jc w:val="center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(обоснование выводов, а также иные замечания и предложения)</w:t>
      </w:r>
    </w:p>
    <w:p w:rsidR="00000000" w:rsidDel="00000000" w:rsidP="00000000" w:rsidRDefault="00000000" w:rsidRPr="00000000" w14:paraId="0000003E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after="0" w:line="240" w:lineRule="auto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55240336"/>
        <w:tag w:val="goog_rdk_0"/>
      </w:sdtPr>
      <w:sdtContent>
        <w:tbl>
          <w:tblPr>
            <w:tblStyle w:val="Table2"/>
            <w:tblW w:w="958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845"/>
            <w:gridCol w:w="2385"/>
            <w:gridCol w:w="2355"/>
            <w:tblGridChange w:id="0">
              <w:tblGrid>
                <w:gridCol w:w="4845"/>
                <w:gridCol w:w="2385"/>
                <w:gridCol w:w="235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6"/>
                    <w:szCs w:val="26"/>
                    <w:rtl w:val="0"/>
                  </w:rPr>
                  <w:t xml:space="preserve">Начальник управления экономического развития, промышленности и инвестиций администрации города Новокузнецка</w:t>
                </w:r>
              </w:p>
              <w:p w:rsidR="00000000" w:rsidDel="00000000" w:rsidP="00000000" w:rsidRDefault="00000000" w:rsidRPr="00000000" w14:paraId="00000041">
                <w:pPr>
                  <w:widowControl w:val="0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6"/>
                    <w:szCs w:val="26"/>
                    <w:rtl w:val="0"/>
                  </w:rPr>
                  <w:t xml:space="preserve">Бажина Елена Игоревна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2">
                <w:pPr>
                  <w:widowControl w:val="0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4">
                <w:pPr>
                  <w:widowControl w:val="0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6"/>
                    <w:szCs w:val="26"/>
                    <w:vertAlign w:val="superscript"/>
                    <w:rtl w:val="0"/>
                  </w:rPr>
                  <w:t xml:space="preserve">(должность, ФИО руководителя)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5">
                <w:pPr>
                  <w:widowControl w:val="0"/>
                  <w:ind w:left="0" w:firstLine="0"/>
                  <w:jc w:val="center"/>
                  <w:rPr>
                    <w:rFonts w:ascii="Times New Roman" w:cs="Times New Roman" w:eastAsia="Times New Roman" w:hAnsi="Times New Roman"/>
                    <w:sz w:val="26"/>
                    <w:szCs w:val="26"/>
                    <w:vertAlign w:val="superscript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0" w:val="nil"/>
                  <w:right w:color="000000" w:space="0" w:sz="0" w:val="nil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center"/>
                  <w:rPr>
                    <w:rFonts w:ascii="Times New Roman" w:cs="Times New Roman" w:eastAsia="Times New Roman" w:hAnsi="Times New Roman"/>
                    <w:sz w:val="26"/>
                    <w:szCs w:val="26"/>
                    <w:vertAlign w:val="superscript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6"/>
                    <w:szCs w:val="26"/>
                    <w:vertAlign w:val="superscript"/>
                    <w:rtl w:val="0"/>
                  </w:rPr>
                  <w:t xml:space="preserve">(подпись)</w:t>
                </w:r>
              </w:p>
            </w:tc>
          </w:tr>
        </w:tbl>
      </w:sdtContent>
    </w:sdt>
    <w:p w:rsidR="00000000" w:rsidDel="00000000" w:rsidP="00000000" w:rsidRDefault="00000000" w:rsidRPr="00000000" w14:paraId="00000047">
      <w:pPr>
        <w:widowControl w:val="0"/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sz w:val="26"/>
          <w:szCs w:val="26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38" w:w="11906" w:orient="portrait"/>
      <w:pgMar w:bottom="1134" w:top="1134" w:left="1418" w:right="851" w:header="566.9291338582677" w:footer="708.661417322834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SchoolBook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widowControl w:val="0"/>
      <w:jc w:val="both"/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widowControl w:val="0"/>
      <w:jc w:val="both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choolBook" w:cs="SchoolBook" w:eastAsia="SchoolBook" w:hAnsi="SchoolBook"/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SchoolBook" w:cs="SchoolBook" w:eastAsia="SchoolBook" w:hAnsi="SchoolBook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SchoolBook" w:cs="SchoolBook" w:eastAsia="SchoolBook" w:hAnsi="SchoolBook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SchoolBook" w:cs="SchoolBook" w:eastAsia="SchoolBook" w:hAnsi="SchoolBook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SchoolBook" w:cs="SchoolBook" w:eastAsia="SchoolBook" w:hAnsi="SchoolBook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SchoolBook" w:cs="SchoolBook" w:eastAsia="SchoolBook" w:hAnsi="SchoolBook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SchoolBook" w:cs="SchoolBook" w:eastAsia="SchoolBook" w:hAnsi="SchoolBook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SchoolBook" w:cs="SchoolBook" w:eastAsia="SchoolBook" w:hAnsi="SchoolBook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w5erRE1xd4paFLZCzCLIc4ekNA==">CgMxLjAaHwoBMBIaChgICVIUChJ0YWJsZS5yY3l6dmtuZTBkeGk4AHIhMXNTZ3c3bmlzWWJyOWI0a045c1dHTTlXSTJnbVp5MUMx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